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7E" w:rsidRDefault="0006237E" w:rsidP="0006237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A67832" w:rsidRPr="00217904" w:rsidRDefault="00DA5A70" w:rsidP="0006237E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217904">
        <w:rPr>
          <w:sz w:val="28"/>
          <w:szCs w:val="28"/>
        </w:rPr>
        <w:t>Перечень документов для проведения санитарно-эпидемиологической экспертизы на размещение или эксплуатацию ПРТО и выдачи</w:t>
      </w:r>
    </w:p>
    <w:p w:rsidR="00A67832" w:rsidRDefault="00DA5A70" w:rsidP="0006237E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217904">
        <w:rPr>
          <w:sz w:val="28"/>
          <w:szCs w:val="28"/>
        </w:rPr>
        <w:t>экспертных заключений.</w:t>
      </w:r>
    </w:p>
    <w:p w:rsidR="0006237E" w:rsidRDefault="0006237E" w:rsidP="0006237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06237E" w:rsidRPr="00217904" w:rsidRDefault="0006237E" w:rsidP="0006237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A04B27" w:rsidRPr="00217904" w:rsidRDefault="00DA5A70" w:rsidP="0006237E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Заявление</w:t>
      </w:r>
    </w:p>
    <w:p w:rsidR="0006237E" w:rsidRDefault="0006237E" w:rsidP="0006237E">
      <w:pPr>
        <w:pStyle w:val="1"/>
        <w:numPr>
          <w:ilvl w:val="0"/>
          <w:numId w:val="9"/>
        </w:numPr>
        <w:shd w:val="clear" w:color="auto" w:fill="auto"/>
        <w:tabs>
          <w:tab w:val="left" w:pos="348"/>
          <w:tab w:val="left" w:pos="993"/>
        </w:tabs>
        <w:spacing w:before="0" w:after="0"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06237E" w:rsidRDefault="0006237E" w:rsidP="0006237E">
      <w:pPr>
        <w:pStyle w:val="1"/>
        <w:numPr>
          <w:ilvl w:val="0"/>
          <w:numId w:val="9"/>
        </w:numPr>
        <w:shd w:val="clear" w:color="auto" w:fill="auto"/>
        <w:tabs>
          <w:tab w:val="left" w:pos="348"/>
          <w:tab w:val="left" w:pos="993"/>
        </w:tabs>
        <w:spacing w:before="0" w:after="0" w:line="317" w:lineRule="exact"/>
        <w:ind w:left="567" w:firstLine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ним; договор аренды или другие правоустанавливающие документы;</w:t>
      </w:r>
    </w:p>
    <w:p w:rsidR="00A04B27" w:rsidRPr="00217904" w:rsidRDefault="00DA5A70" w:rsidP="0006237E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Точный адрес и наименование места (объекта), на котором расположен ПРТО с описанием условий размещения антенн, передатчиков и другого технологического оборудования</w:t>
      </w:r>
    </w:p>
    <w:p w:rsidR="00A04B27" w:rsidRPr="00217904" w:rsidRDefault="00DA5A70" w:rsidP="0006237E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Технические</w:t>
      </w:r>
      <w:r w:rsidRPr="00217904">
        <w:rPr>
          <w:sz w:val="28"/>
          <w:szCs w:val="28"/>
        </w:rPr>
        <w:tab/>
        <w:t>характери</w:t>
      </w:r>
      <w:r w:rsidR="00A04B27" w:rsidRPr="00217904">
        <w:rPr>
          <w:sz w:val="28"/>
          <w:szCs w:val="28"/>
        </w:rPr>
        <w:t xml:space="preserve">стики передающего оборудования: </w:t>
      </w:r>
      <w:r w:rsidRPr="00217904">
        <w:rPr>
          <w:sz w:val="28"/>
          <w:szCs w:val="28"/>
        </w:rPr>
        <w:t>мощность</w:t>
      </w:r>
      <w:r w:rsidR="00A04B27" w:rsidRPr="00217904">
        <w:rPr>
          <w:sz w:val="28"/>
          <w:szCs w:val="28"/>
        </w:rPr>
        <w:t xml:space="preserve"> </w:t>
      </w:r>
      <w:r w:rsidRPr="00217904">
        <w:rPr>
          <w:sz w:val="28"/>
          <w:szCs w:val="28"/>
        </w:rPr>
        <w:t>каждого передатчика, их количество, рабочие частоты (диапазоны частот) по каждому передатчику, тип модуляции, тип и коэффициент усиления по мощности (относительно изотропного излучателя) передающих антенн, мощность на входе каждой антенны; высота установки антенн от поверхности земли и от опорной поверхности (крыши); угол максимума диаграммы и диаграммы направленности в горизонтальной и вертикальной плоскостях. По ПРТО с импульсным режимом работы дополнительно представляются сведения о частоте следования и длительности импульса, частоте вращения антенны (сканирования луча).</w:t>
      </w:r>
    </w:p>
    <w:p w:rsidR="00A04B27" w:rsidRPr="00217904" w:rsidRDefault="00DA5A70" w:rsidP="0006237E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Расчеты</w:t>
      </w:r>
      <w:r w:rsidRPr="00217904">
        <w:rPr>
          <w:sz w:val="28"/>
          <w:szCs w:val="28"/>
        </w:rPr>
        <w:tab/>
        <w:t>интенсивности электромагнитных излучений (ЭМИ) на прилегающей территории и в зданиях (таблично-текстовые материалы расчетов, расчетные границы санитарно-защитных зон (СЗЗ) и зон ограничения застройки (303) и их графическое изображение, выводы по результатам расчетов). Расчеты проводятся с учетом возможного суммирования ЭМИ других ПРТО, установленных на той же площадке, в конкретном здании или на территории.</w:t>
      </w:r>
    </w:p>
    <w:p w:rsidR="00A04B27" w:rsidRPr="00217904" w:rsidRDefault="00DA5A70" w:rsidP="0006237E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Ситуационный</w:t>
      </w:r>
      <w:r w:rsidRPr="00217904">
        <w:rPr>
          <w:sz w:val="28"/>
          <w:szCs w:val="28"/>
        </w:rPr>
        <w:tab/>
        <w:t>план в масштабе 1: 500 с указанием места установки антенны, прилегающих к ней зданий и территорий и расчетных границ СЗЗ и 303.</w:t>
      </w:r>
    </w:p>
    <w:p w:rsidR="00A67832" w:rsidRPr="00217904" w:rsidRDefault="00DA5A70" w:rsidP="0006237E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40" w:lineRule="auto"/>
        <w:ind w:left="567" w:right="20" w:firstLine="0"/>
        <w:rPr>
          <w:sz w:val="28"/>
          <w:szCs w:val="28"/>
        </w:rPr>
      </w:pPr>
      <w:r w:rsidRPr="0006237E">
        <w:rPr>
          <w:sz w:val="28"/>
          <w:szCs w:val="28"/>
        </w:rPr>
        <w:t>Протоколы</w:t>
      </w:r>
      <w:r w:rsidRPr="0006237E">
        <w:rPr>
          <w:sz w:val="28"/>
          <w:szCs w:val="28"/>
        </w:rPr>
        <w:tab/>
        <w:t>измерений интенсивности ЭМИ (на эксплуатацию).</w:t>
      </w:r>
    </w:p>
    <w:sectPr w:rsidR="00A67832" w:rsidRPr="00217904" w:rsidSect="003A0A4F">
      <w:type w:val="continuous"/>
      <w:pgSz w:w="11906" w:h="16838"/>
      <w:pgMar w:top="583" w:right="806" w:bottom="2378" w:left="806" w:header="0" w:footer="3" w:gutter="666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FA" w:rsidRDefault="00DF5AFA" w:rsidP="00A67832">
      <w:r>
        <w:separator/>
      </w:r>
    </w:p>
  </w:endnote>
  <w:endnote w:type="continuationSeparator" w:id="1">
    <w:p w:rsidR="00DF5AFA" w:rsidRDefault="00DF5AFA" w:rsidP="00A6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FA" w:rsidRDefault="00DF5AFA"/>
  </w:footnote>
  <w:footnote w:type="continuationSeparator" w:id="1">
    <w:p w:rsidR="00DF5AFA" w:rsidRDefault="00DF5AF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58D"/>
    <w:multiLevelType w:val="multilevel"/>
    <w:tmpl w:val="B79C7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D08E5"/>
    <w:multiLevelType w:val="hybridMultilevel"/>
    <w:tmpl w:val="22CEA1E2"/>
    <w:lvl w:ilvl="0" w:tplc="32F66A0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B973B9"/>
    <w:multiLevelType w:val="multilevel"/>
    <w:tmpl w:val="B79C77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45B37"/>
    <w:multiLevelType w:val="multilevel"/>
    <w:tmpl w:val="0B703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107E6E"/>
    <w:multiLevelType w:val="multilevel"/>
    <w:tmpl w:val="B79C77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75F7E"/>
    <w:multiLevelType w:val="multilevel"/>
    <w:tmpl w:val="6C30C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668A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F22A72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E7814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214239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7832"/>
    <w:rsid w:val="0006237E"/>
    <w:rsid w:val="00135DE7"/>
    <w:rsid w:val="00217904"/>
    <w:rsid w:val="003A0A4F"/>
    <w:rsid w:val="00633FB8"/>
    <w:rsid w:val="006F6B47"/>
    <w:rsid w:val="007C5A0F"/>
    <w:rsid w:val="00A04B27"/>
    <w:rsid w:val="00A67832"/>
    <w:rsid w:val="00DA5A70"/>
    <w:rsid w:val="00DF5AFA"/>
    <w:rsid w:val="00E477A0"/>
    <w:rsid w:val="00E95C41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83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67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A6783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A67832"/>
    <w:pPr>
      <w:shd w:val="clear" w:color="auto" w:fill="FFFFFF"/>
      <w:spacing w:line="317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6783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A67832"/>
    <w:pPr>
      <w:shd w:val="clear" w:color="auto" w:fill="FFFFFF"/>
      <w:spacing w:before="60" w:after="120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rsid w:val="00A67832"/>
    <w:pPr>
      <w:shd w:val="clear" w:color="auto" w:fill="FFFFFF"/>
      <w:spacing w:before="360" w:after="18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67832"/>
    <w:pPr>
      <w:shd w:val="clear" w:color="auto" w:fill="FFFFFF"/>
      <w:spacing w:after="120" w:line="0" w:lineRule="atLeast"/>
      <w:ind w:hanging="3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D8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D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orz112</dc:creator>
  <cp:lastModifiedBy>expertiza18</cp:lastModifiedBy>
  <cp:revision>2</cp:revision>
  <cp:lastPrinted>2018-01-22T08:19:00Z</cp:lastPrinted>
  <dcterms:created xsi:type="dcterms:W3CDTF">2019-01-22T08:15:00Z</dcterms:created>
  <dcterms:modified xsi:type="dcterms:W3CDTF">2019-01-22T08:15:00Z</dcterms:modified>
</cp:coreProperties>
</file>